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6143A" w14:textId="77777777" w:rsidR="001632AF" w:rsidRDefault="001632AF">
      <w:pPr>
        <w:rPr>
          <w:lang w:val="kk-KZ"/>
        </w:rPr>
      </w:pPr>
    </w:p>
    <w:p w14:paraId="6A3FAE69" w14:textId="77777777" w:rsidR="002B50B5" w:rsidRDefault="002B50B5" w:rsidP="002B50B5">
      <w:pPr>
        <w:rPr>
          <w:rFonts w:ascii="Times New Roman" w:hAnsi="Times New Roman" w:cs="Times New Roman"/>
          <w:sz w:val="36"/>
          <w:szCs w:val="36"/>
          <w:lang w:val="kk-KZ"/>
        </w:rPr>
      </w:pPr>
      <w:bookmarkStart w:id="0" w:name="_Hlk151047773"/>
      <w:r w:rsidRPr="002F1265">
        <w:rPr>
          <w:rFonts w:ascii="Times New Roman" w:hAnsi="Times New Roman" w:cs="Times New Roman"/>
          <w:sz w:val="36"/>
          <w:szCs w:val="36"/>
          <w:lang w:val="kk-KZ"/>
        </w:rPr>
        <w:t xml:space="preserve">11 Дәріс - </w:t>
      </w:r>
      <w:bookmarkStart w:id="1" w:name="_Hlk146189542"/>
      <w:r w:rsidRPr="002F1265">
        <w:rPr>
          <w:rFonts w:ascii="Times New Roman" w:hAnsi="Times New Roman" w:cs="Times New Roman"/>
          <w:sz w:val="36"/>
          <w:szCs w:val="36"/>
          <w:lang w:val="kk-KZ"/>
        </w:rPr>
        <w:t>Ынталандырудың материалды емес әдістері</w:t>
      </w:r>
      <w:bookmarkEnd w:id="1"/>
    </w:p>
    <w:p w14:paraId="2812D44D" w14:textId="77777777" w:rsidR="002B50B5" w:rsidRDefault="002B50B5" w:rsidP="002B50B5">
      <w:pPr>
        <w:ind w:firstLine="708"/>
        <w:rPr>
          <w:rFonts w:ascii="Times New Roman" w:hAnsi="Times New Roman" w:cs="Times New Roman"/>
          <w:sz w:val="36"/>
          <w:szCs w:val="36"/>
          <w:lang w:val="kk-KZ"/>
        </w:rPr>
      </w:pPr>
      <w:r>
        <w:rPr>
          <w:rFonts w:ascii="Times New Roman" w:hAnsi="Times New Roman" w:cs="Times New Roman"/>
          <w:sz w:val="36"/>
          <w:szCs w:val="36"/>
          <w:lang w:val="kk-KZ"/>
        </w:rPr>
        <w:t>Сұрақтар:</w:t>
      </w:r>
    </w:p>
    <w:p w14:paraId="756765DC" w14:textId="77777777" w:rsidR="002B50B5" w:rsidRDefault="002B50B5" w:rsidP="002B50B5">
      <w:pPr>
        <w:pStyle w:val="a7"/>
        <w:numPr>
          <w:ilvl w:val="0"/>
          <w:numId w:val="3"/>
        </w:numPr>
        <w:spacing w:line="259" w:lineRule="auto"/>
        <w:rPr>
          <w:rFonts w:ascii="Times New Roman" w:hAnsi="Times New Roman" w:cs="Times New Roman"/>
          <w:sz w:val="36"/>
          <w:szCs w:val="36"/>
          <w:lang w:val="kk-KZ"/>
        </w:rPr>
      </w:pPr>
      <w:r>
        <w:rPr>
          <w:rFonts w:ascii="Times New Roman" w:hAnsi="Times New Roman" w:cs="Times New Roman"/>
          <w:sz w:val="36"/>
          <w:szCs w:val="36"/>
          <w:lang w:val="kk-KZ"/>
        </w:rPr>
        <w:t>Көшбасшыны ынталандыру тетіктері</w:t>
      </w:r>
    </w:p>
    <w:p w14:paraId="1ABBAB99" w14:textId="77777777" w:rsidR="002B50B5" w:rsidRDefault="002B50B5" w:rsidP="002B50B5">
      <w:pPr>
        <w:pStyle w:val="a7"/>
        <w:numPr>
          <w:ilvl w:val="0"/>
          <w:numId w:val="3"/>
        </w:numPr>
        <w:spacing w:line="259" w:lineRule="auto"/>
        <w:rPr>
          <w:rFonts w:ascii="Times New Roman" w:hAnsi="Times New Roman" w:cs="Times New Roman"/>
          <w:sz w:val="36"/>
          <w:szCs w:val="36"/>
          <w:lang w:val="kk-KZ"/>
        </w:rPr>
      </w:pPr>
      <w:r w:rsidRPr="002F1265">
        <w:rPr>
          <w:rFonts w:ascii="Times New Roman" w:hAnsi="Times New Roman" w:cs="Times New Roman"/>
          <w:sz w:val="36"/>
          <w:szCs w:val="36"/>
          <w:lang w:val="kk-KZ"/>
        </w:rPr>
        <w:t>Ынталандырудың материалды емес әдістері</w:t>
      </w:r>
    </w:p>
    <w:p w14:paraId="2CB2DE08" w14:textId="77777777" w:rsidR="002B50B5" w:rsidRPr="00A80414" w:rsidRDefault="002B50B5" w:rsidP="002B50B5">
      <w:pPr>
        <w:rPr>
          <w:rFonts w:ascii="Times New Roman" w:hAnsi="Times New Roman" w:cs="Times New Roman"/>
          <w:sz w:val="36"/>
          <w:szCs w:val="36"/>
          <w:lang w:val="kk-KZ"/>
        </w:rPr>
      </w:pPr>
      <w:r w:rsidRPr="00A80414">
        <w:rPr>
          <w:rFonts w:ascii="Times New Roman" w:hAnsi="Times New Roman" w:cs="Times New Roman"/>
          <w:sz w:val="36"/>
          <w:szCs w:val="36"/>
          <w:lang w:val="kk-KZ"/>
        </w:rPr>
        <w:t>Қызметкерлердің материалдық емес ынталандыру түрлері</w:t>
      </w:r>
    </w:p>
    <w:p w14:paraId="64FC9D64" w14:textId="77777777" w:rsidR="002B50B5" w:rsidRPr="00A80414" w:rsidRDefault="002B50B5" w:rsidP="002B50B5">
      <w:pPr>
        <w:rPr>
          <w:rFonts w:ascii="Times New Roman" w:hAnsi="Times New Roman" w:cs="Times New Roman"/>
          <w:sz w:val="36"/>
          <w:szCs w:val="36"/>
          <w:lang w:val="kk-KZ"/>
        </w:rPr>
      </w:pPr>
      <w:r w:rsidRPr="00A80414">
        <w:rPr>
          <w:rFonts w:ascii="Times New Roman" w:hAnsi="Times New Roman" w:cs="Times New Roman"/>
          <w:sz w:val="36"/>
          <w:szCs w:val="36"/>
          <w:lang w:val="kk-KZ"/>
        </w:rPr>
        <w:t>Қызметкерлерді материалдық емес ынталандыру үшін келесі құралдар бар.</w:t>
      </w:r>
    </w:p>
    <w:p w14:paraId="4A2EDFEB" w14:textId="77777777" w:rsidR="002B50B5" w:rsidRPr="00A80414" w:rsidRDefault="002B50B5" w:rsidP="002B50B5">
      <w:pPr>
        <w:rPr>
          <w:rFonts w:ascii="Times New Roman" w:hAnsi="Times New Roman" w:cs="Times New Roman"/>
          <w:sz w:val="36"/>
          <w:szCs w:val="36"/>
          <w:lang w:val="kk-KZ"/>
        </w:rPr>
      </w:pPr>
    </w:p>
    <w:p w14:paraId="03510501" w14:textId="77777777" w:rsidR="002B50B5" w:rsidRPr="00A80414" w:rsidRDefault="002B50B5" w:rsidP="002B50B5">
      <w:pPr>
        <w:pStyle w:val="a7"/>
        <w:numPr>
          <w:ilvl w:val="0"/>
          <w:numId w:val="4"/>
        </w:numPr>
        <w:spacing w:line="259" w:lineRule="auto"/>
        <w:rPr>
          <w:rFonts w:ascii="Times New Roman" w:hAnsi="Times New Roman" w:cs="Times New Roman"/>
          <w:sz w:val="36"/>
          <w:szCs w:val="36"/>
          <w:lang w:val="kk-KZ"/>
        </w:rPr>
      </w:pPr>
      <w:r w:rsidRPr="00A80414">
        <w:rPr>
          <w:rFonts w:ascii="Times New Roman" w:hAnsi="Times New Roman" w:cs="Times New Roman"/>
          <w:sz w:val="36"/>
          <w:szCs w:val="36"/>
          <w:lang w:val="kk-KZ"/>
        </w:rPr>
        <w:t>Әділ жалақы жүйесі. Бұл жағдайда біз жалақының деңгейі туралы емес, оның есептеу әдісі туралы емеспіз. Мысалы, сату менеджеріне жалақы төлеу жүйесі мотивация болмайды. Егер ол жалақының негізгі бөлігіне (жалақысына) қосымша болса, ол сату көлемін арттыруға ұмтылатын болады, ол айдың (тоқсан) сатылым көлемінен пайыз төленеді. HR-инспекторы үшін (жалдау бойынша функцияларсыз) қосымша ақы төлеу жүйесі болуы мүлдем пайдасыз болар еді.</w:t>
      </w:r>
    </w:p>
    <w:p w14:paraId="5639A78B" w14:textId="77777777" w:rsidR="002B50B5" w:rsidRPr="00A80414" w:rsidRDefault="002B50B5" w:rsidP="002B50B5">
      <w:pPr>
        <w:pStyle w:val="a7"/>
        <w:numPr>
          <w:ilvl w:val="0"/>
          <w:numId w:val="4"/>
        </w:numPr>
        <w:spacing w:line="259" w:lineRule="auto"/>
        <w:rPr>
          <w:rFonts w:ascii="Times New Roman" w:hAnsi="Times New Roman" w:cs="Times New Roman"/>
          <w:sz w:val="36"/>
          <w:szCs w:val="36"/>
          <w:lang w:val="kk-KZ"/>
        </w:rPr>
      </w:pPr>
      <w:r w:rsidRPr="00A80414">
        <w:rPr>
          <w:rFonts w:ascii="Times New Roman" w:hAnsi="Times New Roman" w:cs="Times New Roman"/>
          <w:sz w:val="36"/>
          <w:szCs w:val="36"/>
          <w:lang w:val="kk-KZ"/>
        </w:rPr>
        <w:t>Сіздің интеллектуалдық әлеуетін пайдалану мүмкіндігі. Егер жоғары білімі бар және таңдалған мамандыққа деген қызығушылығы оның білімі талап етілмеген болса, онда ол өз міндеттерін тиісті құлшыныспен орындамайды. Және бұл жауапкершіліктің болмауына байланысты болмайды, бірақ бұл жұмыс оған қызық емес.</w:t>
      </w:r>
    </w:p>
    <w:p w14:paraId="7CDD5177" w14:textId="77777777" w:rsidR="002B50B5" w:rsidRPr="00A80414" w:rsidRDefault="002B50B5" w:rsidP="002B50B5">
      <w:pPr>
        <w:pStyle w:val="a7"/>
        <w:numPr>
          <w:ilvl w:val="0"/>
          <w:numId w:val="4"/>
        </w:num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 xml:space="preserve">Біліктілікті арттыру мүмкіндігі. Тренингтер, біліктілікті жоғарылату курстары, қосымша жоғары білім алу мүмкіндігі - бұл қызметкерлердің материалдық емес уәждемесі. </w:t>
      </w:r>
      <w:r w:rsidRPr="00A80414">
        <w:rPr>
          <w:rFonts w:ascii="Times New Roman" w:hAnsi="Times New Roman" w:cs="Times New Roman"/>
          <w:sz w:val="40"/>
          <w:szCs w:val="40"/>
          <w:lang w:val="kk-KZ"/>
        </w:rPr>
        <w:lastRenderedPageBreak/>
        <w:t>Қосымша тренинг проблема туралы ақпараттың жетіспеушілігін толтыруға ғана емес, сонымен қатар күнделікті өмірден алшақтайды, бұл да маңызды.</w:t>
      </w:r>
    </w:p>
    <w:p w14:paraId="518B4E7F" w14:textId="77777777" w:rsidR="002B50B5" w:rsidRPr="00A80414" w:rsidRDefault="002B50B5" w:rsidP="002B50B5">
      <w:pPr>
        <w:pStyle w:val="a7"/>
        <w:numPr>
          <w:ilvl w:val="0"/>
          <w:numId w:val="4"/>
        </w:num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Мансаптық өсу мүмкіндігі. Кез-келген адамның дамуына деген ықыласы бар және егер компания осындай мүмкіндікті берсе, онда бұл үлкен плюс. Мансаптық өсу перспективасы жоқ фирмалар, әдетте, бәсекелес компанияға жоғары дәрежелі маманға ауысу үшін, әдетте, қажетті тәжірибеге ие болады.</w:t>
      </w:r>
    </w:p>
    <w:p w14:paraId="684F392C" w14:textId="77777777" w:rsidR="002B50B5" w:rsidRPr="00A80414" w:rsidRDefault="002B50B5" w:rsidP="002B50B5">
      <w:pPr>
        <w:pStyle w:val="a7"/>
        <w:numPr>
          <w:ilvl w:val="0"/>
          <w:numId w:val="4"/>
        </w:num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Компания қызметкерлері үшін әлеуметтік қорғаудың дамыған жүйесі. Кәсіподақ комитеті, балабақша, стадион, сауықтыру лагері, сауықтыру орталығы, зейнеткерлікке шыққан компания қызметкерлеріне материалдық көмек.</w:t>
      </w:r>
    </w:p>
    <w:p w14:paraId="4251416C" w14:textId="77777777" w:rsidR="002B50B5" w:rsidRPr="00A80414" w:rsidRDefault="002B50B5" w:rsidP="002B50B5">
      <w:pPr>
        <w:pStyle w:val="a7"/>
        <w:numPr>
          <w:ilvl w:val="0"/>
          <w:numId w:val="4"/>
        </w:num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Қауіпсіз және ыңғайлы еңбек жағдайлары, эргономикалық жұмыс орындарын ұйымдастыру, заманауи жабдықты жаңғырту.</w:t>
      </w:r>
    </w:p>
    <w:p w14:paraId="4247B06A" w14:textId="77777777" w:rsidR="002B50B5" w:rsidRPr="00A80414" w:rsidRDefault="002B50B5" w:rsidP="002B50B5">
      <w:p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7  Өткізу деңгейін берумен корпоративтік жарыстар - айдың үздік сауда өкілі, жылдың ең сыпайы сатушысы, осы тоқсанда ең жауапты диспетчер. Немесе құрметті марапаттар - фирманың еңбек сіңірген бухгалтері, филиалдың ең үздік режиссері және т.б.</w:t>
      </w:r>
    </w:p>
    <w:p w14:paraId="5347A6BA" w14:textId="77777777" w:rsidR="002B50B5" w:rsidRPr="00A80414" w:rsidRDefault="002B50B5" w:rsidP="002B50B5">
      <w:pPr>
        <w:pStyle w:val="a7"/>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8.Командада қолайлы психологиялық климат жасау. Жаңа қызметкерлерді бейімдеудің түзетілген жүйесі.</w:t>
      </w:r>
    </w:p>
    <w:p w14:paraId="7ED40DB3" w14:textId="77777777" w:rsidR="002B50B5" w:rsidRPr="00A80414" w:rsidRDefault="002B50B5" w:rsidP="002B50B5">
      <w:pPr>
        <w:spacing w:after="0" w:line="240" w:lineRule="auto"/>
        <w:rPr>
          <w:rFonts w:ascii="Times New Roman" w:hAnsi="Times New Roman" w:cs="Times New Roman"/>
          <w:sz w:val="40"/>
          <w:szCs w:val="40"/>
          <w:lang w:val="kk-KZ"/>
        </w:rPr>
      </w:pPr>
      <w:r w:rsidRPr="00A80414">
        <w:rPr>
          <w:rFonts w:ascii="Times New Roman" w:hAnsi="Times New Roman" w:cs="Times New Roman"/>
          <w:sz w:val="40"/>
          <w:szCs w:val="40"/>
          <w:lang w:val="kk-KZ"/>
        </w:rPr>
        <w:t>9. Компанияның басшылығымен және жоғарғы басшылығымен корпоративтік оқиғалар мен іс-</w:t>
      </w:r>
      <w:r w:rsidRPr="00A80414">
        <w:rPr>
          <w:rFonts w:ascii="Times New Roman" w:hAnsi="Times New Roman" w:cs="Times New Roman"/>
          <w:sz w:val="40"/>
          <w:szCs w:val="40"/>
          <w:lang w:val="kk-KZ"/>
        </w:rPr>
        <w:lastRenderedPageBreak/>
        <w:t>шараларды ұйымдастыру, корпоративтік газеттің өткізілуі туралы нақты кері байланыс.</w:t>
      </w:r>
      <w:r w:rsidRPr="00A80414">
        <w:rPr>
          <w:rFonts w:ascii="Times New Roman" w:hAnsi="Times New Roman" w:cs="Times New Roman"/>
          <w:sz w:val="40"/>
          <w:szCs w:val="40"/>
          <w:lang w:val="kk-KZ"/>
        </w:rPr>
        <w:tab/>
      </w:r>
    </w:p>
    <w:p w14:paraId="281E8DF4" w14:textId="77777777" w:rsidR="002B50B5" w:rsidRDefault="002B50B5" w:rsidP="002B50B5">
      <w:pPr>
        <w:spacing w:after="0" w:line="240" w:lineRule="auto"/>
        <w:rPr>
          <w:lang w:val="kk-KZ"/>
        </w:rPr>
      </w:pPr>
    </w:p>
    <w:p w14:paraId="3738A248" w14:textId="77777777" w:rsidR="002B50B5" w:rsidRPr="004254EA" w:rsidRDefault="002B50B5" w:rsidP="002B50B5">
      <w:pPr>
        <w:spacing w:after="0" w:line="240" w:lineRule="auto"/>
        <w:rPr>
          <w:rFonts w:ascii="Times New Roman" w:hAnsi="Times New Roman" w:cs="Times New Roman"/>
          <w:sz w:val="32"/>
          <w:szCs w:val="32"/>
          <w:lang w:val="kk-KZ"/>
        </w:rPr>
      </w:pPr>
      <w:r w:rsidRPr="004254EA">
        <w:rPr>
          <w:rFonts w:ascii="Times New Roman" w:hAnsi="Times New Roman" w:cs="Times New Roman"/>
          <w:sz w:val="32"/>
          <w:szCs w:val="32"/>
          <w:lang w:val="kk-KZ"/>
        </w:rPr>
        <w:t>Қызметкерлерді материалдық емес ынталандыру жөніндегі кеңестер</w:t>
      </w:r>
      <w:r>
        <w:rPr>
          <w:rFonts w:ascii="Times New Roman" w:hAnsi="Times New Roman" w:cs="Times New Roman"/>
          <w:sz w:val="32"/>
          <w:szCs w:val="32"/>
          <w:lang w:val="kk-KZ"/>
        </w:rPr>
        <w:t>.</w:t>
      </w:r>
    </w:p>
    <w:p w14:paraId="12B6796E" w14:textId="77777777" w:rsidR="002B50B5" w:rsidRPr="004254EA" w:rsidRDefault="002B50B5" w:rsidP="002B50B5">
      <w:pPr>
        <w:spacing w:after="0" w:line="240" w:lineRule="auto"/>
        <w:rPr>
          <w:rFonts w:ascii="Times New Roman" w:hAnsi="Times New Roman" w:cs="Times New Roman"/>
          <w:sz w:val="32"/>
          <w:szCs w:val="32"/>
          <w:lang w:val="kk-KZ"/>
        </w:rPr>
      </w:pPr>
      <w:r w:rsidRPr="004254EA">
        <w:rPr>
          <w:rFonts w:ascii="Times New Roman" w:hAnsi="Times New Roman" w:cs="Times New Roman"/>
          <w:sz w:val="32"/>
          <w:szCs w:val="32"/>
          <w:lang w:val="kk-KZ"/>
        </w:rPr>
        <w:t>Қызметкерлерді материалдық емес ынталандырудың қанша түрін білетін болсақ, олардың қайсысы нақты компанияға қажет екенін анықтау қиын. Бұл мәселені шешу үшін фирмадағы бар ынталандыру жүйесін бағалау қажет.</w:t>
      </w:r>
    </w:p>
    <w:p w14:paraId="7D5D1932" w14:textId="77777777" w:rsidR="002B50B5" w:rsidRDefault="002B50B5" w:rsidP="002B50B5">
      <w:pPr>
        <w:spacing w:after="0" w:line="240" w:lineRule="auto"/>
        <w:rPr>
          <w:rFonts w:ascii="Times New Roman" w:hAnsi="Times New Roman" w:cs="Times New Roman"/>
          <w:sz w:val="32"/>
          <w:szCs w:val="32"/>
          <w:lang w:val="kk-KZ"/>
        </w:rPr>
      </w:pPr>
    </w:p>
    <w:p w14:paraId="779C81C1" w14:textId="77777777" w:rsidR="002B50B5" w:rsidRDefault="002B50B5" w:rsidP="002B50B5">
      <w:pPr>
        <w:spacing w:after="0" w:line="240" w:lineRule="auto"/>
        <w:rPr>
          <w:rFonts w:ascii="Times New Roman" w:hAnsi="Times New Roman" w:cs="Times New Roman"/>
          <w:sz w:val="32"/>
          <w:szCs w:val="32"/>
          <w:lang w:val="kk-KZ"/>
        </w:rPr>
      </w:pPr>
      <w:r w:rsidRPr="004254EA">
        <w:rPr>
          <w:rFonts w:ascii="Times New Roman" w:hAnsi="Times New Roman" w:cs="Times New Roman"/>
          <w:sz w:val="32"/>
          <w:szCs w:val="32"/>
          <w:lang w:val="kk-KZ"/>
        </w:rPr>
        <w:t>Содан кейін қажет етеді материалдық емес ынталандыру түрлері қолданыстағы түрлерге түзетулер енгізу немесе материалдық емес уәждемелердің толық жаңа нысандарын енгізу. Мысалы, сатылым бонусы компаниядағы сауда тобына төленсе және компания менеджері оны ұлғайтуды қажет деп санамаса, басқа мақсатты белгілеп, оған қол жеткізу үшін қызметкерлерді ынталандыру керек. Бұл клиенттерге қызмет көрсету сапасын арттырып, жеткізушілермен ынтымақтастықты жақсартуы мүмкін.</w:t>
      </w:r>
    </w:p>
    <w:p w14:paraId="4A2ACD36" w14:textId="77777777" w:rsidR="002B50B5" w:rsidRDefault="002B50B5" w:rsidP="002B50B5">
      <w:pPr>
        <w:spacing w:after="0" w:line="240" w:lineRule="auto"/>
        <w:rPr>
          <w:rFonts w:ascii="Times New Roman" w:hAnsi="Times New Roman" w:cs="Times New Roman"/>
          <w:sz w:val="32"/>
          <w:szCs w:val="32"/>
          <w:lang w:val="kk-KZ"/>
        </w:rPr>
      </w:pPr>
    </w:p>
    <w:p w14:paraId="670F7372" w14:textId="77777777" w:rsidR="002B50B5" w:rsidRDefault="002B50B5" w:rsidP="002B50B5">
      <w:pPr>
        <w:spacing w:after="0" w:line="240" w:lineRule="auto"/>
        <w:rPr>
          <w:rFonts w:ascii="Times New Roman" w:hAnsi="Times New Roman" w:cs="Times New Roman"/>
          <w:sz w:val="32"/>
          <w:szCs w:val="32"/>
          <w:lang w:val="kk-KZ"/>
        </w:rPr>
      </w:pPr>
      <w:r w:rsidRPr="004254EA">
        <w:rPr>
          <w:rFonts w:ascii="Times New Roman" w:hAnsi="Times New Roman" w:cs="Times New Roman"/>
          <w:sz w:val="32"/>
          <w:szCs w:val="32"/>
          <w:lang w:val="kk-KZ"/>
        </w:rPr>
        <w:t>Мотивацияның қажетті құралдарын таңдағанда, сіз дұрыс бағалауларыңыз керек. Мысалы, жұмыс істемейтін зейнеткерлерді әлеуметтік қолдау компанияда жаңа қызметкерлерді бейімдеуге арналған жүйе болмаса пайдалы болмауы мүмкін</w:t>
      </w:r>
    </w:p>
    <w:bookmarkEnd w:id="0"/>
    <w:p w14:paraId="46B9CB16" w14:textId="77777777" w:rsidR="00A72CB7" w:rsidRDefault="00A72CB7">
      <w:pPr>
        <w:rPr>
          <w:lang w:val="kk-KZ"/>
        </w:rPr>
      </w:pPr>
    </w:p>
    <w:p w14:paraId="7BE600F4" w14:textId="77777777" w:rsidR="00A72CB7" w:rsidRDefault="00A72CB7">
      <w:pPr>
        <w:rPr>
          <w:lang w:val="kk-KZ"/>
        </w:rPr>
      </w:pPr>
    </w:p>
    <w:p w14:paraId="6E4C92F8" w14:textId="77777777" w:rsidR="00A72CB7" w:rsidRDefault="00A72CB7">
      <w:pPr>
        <w:rPr>
          <w:lang w:val="kk-KZ"/>
        </w:rPr>
      </w:pPr>
    </w:p>
    <w:p w14:paraId="27FAFD39" w14:textId="77777777" w:rsidR="00A72CB7" w:rsidRDefault="00A72CB7" w:rsidP="00A72CB7">
      <w:pPr>
        <w:spacing w:after="0" w:line="240" w:lineRule="auto"/>
        <w:rPr>
          <w:rFonts w:ascii="Times New Roman" w:hAnsi="Times New Roman" w:cs="Times New Roman"/>
          <w:b/>
          <w:bCs/>
          <w:sz w:val="32"/>
          <w:szCs w:val="32"/>
          <w:lang w:val="kk-KZ"/>
        </w:rPr>
      </w:pPr>
      <w:bookmarkStart w:id="2"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62D12D1A" w14:textId="77777777" w:rsidR="00A72CB7" w:rsidRDefault="00A72CB7" w:rsidP="00A72CB7">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0DBC1D88" w14:textId="77777777" w:rsidR="00A72CB7" w:rsidRDefault="00A72CB7" w:rsidP="00A72C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04C5B124" w14:textId="77777777" w:rsidR="00A72CB7" w:rsidRDefault="00A72CB7" w:rsidP="00A72CB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2F29778A" w14:textId="77777777" w:rsidR="00A72CB7" w:rsidRDefault="00A72CB7" w:rsidP="00A72CB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4DBAB38" w14:textId="77777777" w:rsidR="00A72CB7" w:rsidRDefault="00A72CB7" w:rsidP="00A72CB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A446520" w14:textId="77777777" w:rsidR="00A72CB7" w:rsidRDefault="00A72CB7" w:rsidP="00A72CB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0CE8580A" w14:textId="77777777" w:rsidR="00A72CB7" w:rsidRDefault="00A72CB7" w:rsidP="00A72CB7">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8864230" w14:textId="77777777" w:rsidR="00A72CB7" w:rsidRDefault="00A72CB7" w:rsidP="00A72CB7">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1A5FB02" w14:textId="77777777" w:rsidR="00A72CB7" w:rsidRDefault="00A72CB7" w:rsidP="00A72C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3"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3"/>
    </w:p>
    <w:p w14:paraId="379B782F" w14:textId="77777777" w:rsidR="00A72CB7" w:rsidRDefault="00A72CB7" w:rsidP="00A72CB7">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lastRenderedPageBreak/>
        <w:t>9.Луиза Хейдің "Өмірің өз қолыңда" -Алматы: Мазмұндама, 2020-248 б.</w:t>
      </w:r>
    </w:p>
    <w:p w14:paraId="625E7199" w14:textId="77777777" w:rsidR="00A72CB7" w:rsidRDefault="00A72CB7" w:rsidP="00A72C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5C38E235" w14:textId="77777777" w:rsidR="00A72CB7" w:rsidRDefault="00A72CB7" w:rsidP="00A72CB7">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D4AED1D" w14:textId="77777777" w:rsidR="00A72CB7" w:rsidRDefault="00A72CB7" w:rsidP="00A72C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0E772D8E" w14:textId="77777777" w:rsidR="00A72CB7" w:rsidRDefault="00A72CB7" w:rsidP="00A72CB7">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0D1B6706" w14:textId="77777777" w:rsidR="00A72CB7" w:rsidRDefault="00A72CB7" w:rsidP="00A72C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6F4BFAC3" w14:textId="77777777" w:rsidR="00A72CB7" w:rsidRDefault="00A72CB7" w:rsidP="00A72CB7">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50E003C6" w14:textId="77777777" w:rsidR="00A72CB7" w:rsidRDefault="00A72CB7" w:rsidP="00A72CB7">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3CFDA35D"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6970F7DB"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2DE17AEE"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3.Уилтон, Ник. HR-менеджментке кіріспе = An Introduction to Human Resource Management - Алматы: "Ұлттық аударма бюросы" ҚҚ, 2019. — 531 б.</w:t>
      </w:r>
    </w:p>
    <w:p w14:paraId="3E35C54B"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2FDE9701"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953C327" w14:textId="77777777" w:rsidR="00A72CB7" w:rsidRDefault="00A72CB7" w:rsidP="00A72CB7">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D727513" w14:textId="77777777" w:rsidR="00A72CB7" w:rsidRDefault="00A72CB7" w:rsidP="00A72CB7">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5B0245CC" w14:textId="77777777" w:rsidR="00A72CB7" w:rsidRDefault="00A72CB7" w:rsidP="00A72CB7">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013C9288" w14:textId="77777777" w:rsidR="00A72CB7" w:rsidRDefault="00A72CB7" w:rsidP="00A72CB7">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0BCE22B5" w14:textId="77777777" w:rsidR="00A72CB7" w:rsidRDefault="00A72CB7" w:rsidP="00A72CB7">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7E162F2D" w14:textId="77777777" w:rsidR="00A72CB7" w:rsidRDefault="00000000" w:rsidP="00A72CB7">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A72CB7">
          <w:rPr>
            <w:rStyle w:val="ad"/>
            <w:rFonts w:ascii="Times New Roman" w:hAnsi="Times New Roman" w:cs="Times New Roman"/>
            <w:color w:val="000000" w:themeColor="text1"/>
            <w:sz w:val="20"/>
            <w:szCs w:val="20"/>
            <w:shd w:val="clear" w:color="auto" w:fill="FFFFFF"/>
            <w:lang w:val="kk-KZ"/>
          </w:rPr>
          <w:t>https://www.youtube.com/watch?v=z2YQ-7SLf4k</w:t>
        </w:r>
      </w:hyperlink>
    </w:p>
    <w:p w14:paraId="341CCA3F" w14:textId="77777777" w:rsidR="00A72CB7" w:rsidRDefault="00A72CB7" w:rsidP="00A72CB7">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2"/>
    <w:p w14:paraId="4F879C8A" w14:textId="77777777" w:rsidR="00A72CB7" w:rsidRDefault="00A72CB7" w:rsidP="00A72CB7">
      <w:pPr>
        <w:spacing w:after="0" w:line="240" w:lineRule="auto"/>
        <w:rPr>
          <w:rFonts w:ascii="Times New Roman" w:eastAsia="Times New Roman" w:hAnsi="Times New Roman" w:cs="Times New Roman"/>
          <w:sz w:val="20"/>
          <w:szCs w:val="20"/>
          <w:lang w:val="kk-KZ"/>
        </w:rPr>
      </w:pPr>
    </w:p>
    <w:p w14:paraId="208D492E" w14:textId="77777777" w:rsidR="00A72CB7" w:rsidRDefault="00A72CB7" w:rsidP="00A72CB7">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673D2487" w14:textId="77777777" w:rsidR="00A72CB7" w:rsidRDefault="00A72CB7" w:rsidP="00A72CB7">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7A5CE8A2" w14:textId="2FAF3F70" w:rsidR="00A72CB7" w:rsidRPr="00A72CB7" w:rsidRDefault="00A72CB7" w:rsidP="00A72CB7">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A72CB7" w:rsidRPr="00A72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FA612A4"/>
    <w:multiLevelType w:val="hybridMultilevel"/>
    <w:tmpl w:val="436C1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5B1678A"/>
    <w:multiLevelType w:val="hybridMultilevel"/>
    <w:tmpl w:val="C686A1CE"/>
    <w:lvl w:ilvl="0" w:tplc="A7D878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5956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6814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6118441">
    <w:abstractNumId w:val="3"/>
  </w:num>
  <w:num w:numId="4" w16cid:durableId="84536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2F"/>
    <w:rsid w:val="001632AF"/>
    <w:rsid w:val="002B50B5"/>
    <w:rsid w:val="00310446"/>
    <w:rsid w:val="003E6D87"/>
    <w:rsid w:val="00481588"/>
    <w:rsid w:val="0072652F"/>
    <w:rsid w:val="00A72CB7"/>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EC72"/>
  <w15:chartTrackingRefBased/>
  <w15:docId w15:val="{907B9FE7-7FC3-408D-9D4F-28CB62F11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B7"/>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A72CB7"/>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A7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1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2024-05-23T01:46:00Z</dcterms:created>
  <dcterms:modified xsi:type="dcterms:W3CDTF">2024-05-23T02:05:00Z</dcterms:modified>
</cp:coreProperties>
</file>